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b w:val="1"/>
          <w:sz w:val="24"/>
          <w:szCs w:val="24"/>
        </w:rPr>
      </w:pPr>
      <w:r w:rsidDel="00000000" w:rsidR="00000000" w:rsidRPr="00000000">
        <w:rPr>
          <w:rtl w:val="0"/>
        </w:rPr>
      </w:r>
    </w:p>
    <w:p w:rsidR="00000000" w:rsidDel="00000000" w:rsidP="00000000" w:rsidRDefault="00000000" w:rsidRPr="00000000" w14:paraId="00000002">
      <w:pPr>
        <w:spacing w:after="200" w:lineRule="auto"/>
        <w:jc w:val="center"/>
        <w:rPr>
          <w:b w:val="1"/>
          <w:sz w:val="24"/>
          <w:szCs w:val="24"/>
        </w:rPr>
      </w:pPr>
      <w:r w:rsidDel="00000000" w:rsidR="00000000" w:rsidRPr="00000000">
        <w:rPr>
          <w:b w:val="1"/>
          <w:sz w:val="24"/>
          <w:szCs w:val="24"/>
          <w:rtl w:val="0"/>
        </w:rPr>
        <w:t xml:space="preserve">KİŞİSEL VERİLERİN İŞLENMESİNE İLİŞKİN </w:t>
      </w:r>
    </w:p>
    <w:p w:rsidR="00000000" w:rsidDel="00000000" w:rsidP="00000000" w:rsidRDefault="00000000" w:rsidRPr="00000000" w14:paraId="00000003">
      <w:pPr>
        <w:spacing w:after="200" w:lineRule="auto"/>
        <w:rPr>
          <w:b w:val="1"/>
          <w:highlight w:val="white"/>
        </w:rPr>
      </w:pPr>
      <w:r w:rsidDel="00000000" w:rsidR="00000000" w:rsidRPr="00000000">
        <w:rPr>
          <w:b w:val="1"/>
          <w:sz w:val="24"/>
          <w:szCs w:val="24"/>
          <w:highlight w:val="white"/>
          <w:rtl w:val="0"/>
        </w:rPr>
        <w:t xml:space="preserve">                             POTANSİYEL MÜŞTERİ </w:t>
      </w:r>
      <w:r w:rsidDel="00000000" w:rsidR="00000000" w:rsidRPr="00000000">
        <w:rPr>
          <w:b w:val="1"/>
          <w:sz w:val="24"/>
          <w:szCs w:val="24"/>
          <w:rtl w:val="0"/>
        </w:rPr>
        <w:t xml:space="preserve">AYDINLATMA METNİ</w:t>
      </w:r>
      <w:r w:rsidDel="00000000" w:rsidR="00000000" w:rsidRPr="00000000">
        <w:rPr>
          <w:rtl w:val="0"/>
        </w:rPr>
      </w:r>
    </w:p>
    <w:p w:rsidR="00000000" w:rsidDel="00000000" w:rsidP="00000000" w:rsidRDefault="00000000" w:rsidRPr="00000000" w14:paraId="00000004">
      <w:pPr>
        <w:jc w:val="both"/>
        <w:rPr>
          <w:b w:val="1"/>
        </w:rPr>
      </w:pPr>
      <w:r w:rsidDel="00000000" w:rsidR="00000000" w:rsidRPr="00000000">
        <w:rPr>
          <w:b w:val="1"/>
          <w:rtl w:val="0"/>
        </w:rPr>
        <w:t xml:space="preserve"> </w:t>
      </w:r>
    </w:p>
    <w:p w:rsidR="00000000" w:rsidDel="00000000" w:rsidP="00000000" w:rsidRDefault="00000000" w:rsidRPr="00000000" w14:paraId="00000005">
      <w:pPr>
        <w:ind w:left="1700.7874015748032" w:hanging="1842.51968503937"/>
        <w:jc w:val="both"/>
        <w:rPr>
          <w:b w:val="1"/>
        </w:rPr>
      </w:pPr>
      <w:r w:rsidDel="00000000" w:rsidR="00000000" w:rsidRPr="00000000">
        <w:rPr>
          <w:b w:val="1"/>
          <w:rtl w:val="0"/>
        </w:rPr>
        <w:t xml:space="preserve">   Veri Sorumlusu: </w:t>
      </w:r>
      <w:r w:rsidDel="00000000" w:rsidR="00000000" w:rsidRPr="00000000">
        <w:rPr>
          <w:b w:val="1"/>
          <w:highlight w:val="white"/>
          <w:rtl w:val="0"/>
        </w:rPr>
        <w:t xml:space="preserve">Palmiye Bisküvi Çikolata Kek Gofret Gıda San. Tic. A.Ş.</w:t>
      </w:r>
      <w:r w:rsidDel="00000000" w:rsidR="00000000" w:rsidRPr="00000000">
        <w:rPr>
          <w:rtl w:val="0"/>
        </w:rPr>
      </w:r>
    </w:p>
    <w:p w:rsidR="00000000" w:rsidDel="00000000" w:rsidP="00000000" w:rsidRDefault="00000000" w:rsidRPr="00000000" w14:paraId="00000006">
      <w:pPr>
        <w:ind w:left="-141.73228346456688" w:firstLine="0"/>
        <w:jc w:val="both"/>
        <w:rPr>
          <w:b w:val="1"/>
        </w:rPr>
      </w:pPr>
      <w:r w:rsidDel="00000000" w:rsidR="00000000" w:rsidRPr="00000000">
        <w:rPr>
          <w:highlight w:val="white"/>
          <w:rtl w:val="0"/>
        </w:rPr>
        <w:t xml:space="preserve">                                </w:t>
      </w:r>
      <w:r w:rsidDel="00000000" w:rsidR="00000000" w:rsidRPr="00000000">
        <w:rPr>
          <w:highlight w:val="white"/>
          <w:rtl w:val="0"/>
        </w:rPr>
        <w:t xml:space="preserve">Organize Sanayi Bölgesi, 18. Cadde No 15 </w:t>
      </w:r>
      <w:r w:rsidDel="00000000" w:rsidR="00000000" w:rsidRPr="00000000">
        <w:rPr>
          <w:rtl w:val="0"/>
        </w:rPr>
        <w:t xml:space="preserve">Merkez/Karaman</w:t>
      </w:r>
      <w:r w:rsidDel="00000000" w:rsidR="00000000" w:rsidRPr="00000000">
        <w:rPr>
          <w:rtl w:val="0"/>
        </w:rPr>
      </w:r>
    </w:p>
    <w:p w:rsidR="00000000" w:rsidDel="00000000" w:rsidP="00000000" w:rsidRDefault="00000000" w:rsidRPr="00000000" w14:paraId="00000007">
      <w:pPr>
        <w:ind w:left="1700.7874015748032" w:hanging="1842.51968503937"/>
        <w:jc w:val="both"/>
        <w:rPr>
          <w:b w:val="1"/>
        </w:rPr>
      </w:pPr>
      <w:r w:rsidDel="00000000" w:rsidR="00000000" w:rsidRPr="00000000">
        <w:rPr>
          <w:rtl w:val="0"/>
        </w:rPr>
      </w:r>
    </w:p>
    <w:p w:rsidR="00000000" w:rsidDel="00000000" w:rsidP="00000000" w:rsidRDefault="00000000" w:rsidRPr="00000000" w14:paraId="00000008">
      <w:pPr>
        <w:spacing w:after="200" w:lineRule="auto"/>
        <w:jc w:val="both"/>
        <w:rPr/>
      </w:pPr>
      <w:r w:rsidDel="00000000" w:rsidR="00000000" w:rsidRPr="00000000">
        <w:rPr>
          <w:highlight w:val="white"/>
          <w:rtl w:val="0"/>
        </w:rPr>
        <w:t xml:space="preserve">Palmiye Bisküvi Çikolata Kek Gofret Gıda San. </w:t>
      </w:r>
      <w:r w:rsidDel="00000000" w:rsidR="00000000" w:rsidRPr="00000000">
        <w:rPr>
          <w:rtl w:val="0"/>
        </w:rPr>
        <w:t xml:space="preserve">Tic.</w:t>
      </w:r>
      <w:r w:rsidDel="00000000" w:rsidR="00000000" w:rsidRPr="00000000">
        <w:rPr>
          <w:highlight w:val="white"/>
          <w:rtl w:val="0"/>
        </w:rPr>
        <w:t xml:space="preserve"> A.Ş.</w:t>
      </w:r>
      <w:r w:rsidDel="00000000" w:rsidR="00000000" w:rsidRPr="00000000">
        <w:rPr>
          <w:b w:val="1"/>
          <w:highlight w:val="white"/>
          <w:rtl w:val="0"/>
        </w:rPr>
        <w:t xml:space="preserve"> </w:t>
      </w:r>
      <w:r w:rsidDel="00000000" w:rsidR="00000000" w:rsidRPr="00000000">
        <w:rPr>
          <w:rtl w:val="0"/>
        </w:rPr>
        <w:t xml:space="preserve">(bundan sonra “</w:t>
      </w:r>
      <w:r w:rsidDel="00000000" w:rsidR="00000000" w:rsidRPr="00000000">
        <w:rPr>
          <w:b w:val="1"/>
          <w:rtl w:val="0"/>
        </w:rPr>
        <w:t xml:space="preserve">Palmiye Bisküvi</w:t>
      </w:r>
      <w:r w:rsidDel="00000000" w:rsidR="00000000" w:rsidRPr="00000000">
        <w:rPr>
          <w:rtl w:val="0"/>
        </w:rPr>
        <w:t xml:space="preserve">” olarak anılacaktır.) olarak; kişisel verilerinizi 6698 sayılı Kişisel Verilerin Korunması Kanunu (“</w:t>
      </w:r>
      <w:r w:rsidDel="00000000" w:rsidR="00000000" w:rsidRPr="00000000">
        <w:rPr>
          <w:b w:val="1"/>
          <w:rtl w:val="0"/>
        </w:rPr>
        <w:t xml:space="preserve">KVKK</w:t>
      </w:r>
      <w:r w:rsidDel="00000000" w:rsidR="00000000" w:rsidRPr="00000000">
        <w:rPr>
          <w:rtl w:val="0"/>
        </w:rPr>
        <w:t xml:space="preserve">”) ve ilgili mevzuat ve yasal düzenlemelerden kaynaklanan faaliyetleri çerçevesinde kişisel verilerinizin işlenmesi, saklanması ve aktarılması ile ilgili siz potansiyel müşterilerimizi bilgilendirmek amacıyla işbu aydınlatma metnini hazırladık.</w:t>
      </w:r>
    </w:p>
    <w:p w:rsidR="00000000" w:rsidDel="00000000" w:rsidP="00000000" w:rsidRDefault="00000000" w:rsidRPr="00000000" w14:paraId="00000009">
      <w:pPr>
        <w:spacing w:after="200" w:lineRule="auto"/>
        <w:ind w:right="-324.3307086614169"/>
        <w:jc w:val="both"/>
        <w:rPr/>
      </w:pPr>
      <w:r w:rsidDel="00000000" w:rsidR="00000000" w:rsidRPr="00000000">
        <w:rPr>
          <w:b w:val="1"/>
          <w:rtl w:val="0"/>
        </w:rPr>
        <w:t xml:space="preserve">Hangi Kişisel Verileriniz İşlenmekte ve Kişisel Verilerinizin İşlenme Amaçları Nelerdir?</w:t>
      </w: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Faaliyetlerimiz kapsamında siz potansiyel müşterilerimizin aşağıda yer alan verilerini toplamaktayız:</w:t>
      </w:r>
    </w:p>
    <w:p w:rsidR="00000000" w:rsidDel="00000000" w:rsidP="00000000" w:rsidRDefault="00000000" w:rsidRPr="00000000" w14:paraId="0000000B">
      <w:pPr>
        <w:jc w:val="both"/>
        <w:rPr/>
      </w:pPr>
      <w:r w:rsidDel="00000000" w:rsidR="00000000" w:rsidRPr="00000000">
        <w:rPr>
          <w:rtl w:val="0"/>
        </w:rPr>
      </w:r>
    </w:p>
    <w:tbl>
      <w:tblPr>
        <w:tblStyle w:val="Table1"/>
        <w:tblW w:w="92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6750"/>
        <w:tblGridChange w:id="0">
          <w:tblGrid>
            <w:gridCol w:w="2475"/>
            <w:gridCol w:w="6750"/>
          </w:tblGrid>
        </w:tblGridChange>
      </w:tblGrid>
      <w:tr>
        <w:trPr>
          <w:trHeight w:val="420" w:hRule="atLeast"/>
        </w:trPr>
        <w:tc>
          <w:tcPr>
            <w:gridSpan w:val="2"/>
            <w:shd w:fill="cc0000" w:val="clear"/>
            <w:tcMar>
              <w:top w:w="100.0" w:type="dxa"/>
              <w:left w:w="100.0" w:type="dxa"/>
              <w:bottom w:w="100.0" w:type="dxa"/>
              <w:right w:w="100.0" w:type="dxa"/>
            </w:tcMar>
            <w:vAlign w:val="top"/>
          </w:tcPr>
          <w:p w:rsidR="00000000" w:rsidDel="00000000" w:rsidP="00000000" w:rsidRDefault="00000000" w:rsidRPr="00000000" w14:paraId="0000000C">
            <w:pPr>
              <w:widowControl w:val="0"/>
              <w:jc w:val="both"/>
              <w:rPr>
                <w:b w:val="1"/>
              </w:rPr>
            </w:pPr>
            <w:r w:rsidDel="00000000" w:rsidR="00000000" w:rsidRPr="00000000">
              <w:rPr>
                <w:b w:val="1"/>
                <w:rtl w:val="0"/>
              </w:rPr>
              <w:t xml:space="preserve">Kimlik Bilgileri</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0E">
            <w:pPr>
              <w:widowControl w:val="0"/>
              <w:jc w:val="both"/>
              <w:rPr>
                <w:b w:val="1"/>
              </w:rPr>
            </w:pPr>
            <w:r w:rsidDel="00000000" w:rsidR="00000000" w:rsidRPr="00000000">
              <w:rPr>
                <w:b w:val="1"/>
                <w:rtl w:val="0"/>
              </w:rPr>
              <w:t xml:space="preserve">İşlenen Kişisel Veriler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F">
            <w:pPr>
              <w:widowControl w:val="0"/>
              <w:jc w:val="both"/>
              <w:rPr>
                <w:b w:val="1"/>
              </w:rPr>
            </w:pPr>
            <w:r w:rsidDel="00000000" w:rsidR="00000000" w:rsidRPr="00000000">
              <w:rPr>
                <w:b w:val="1"/>
                <w:rtl w:val="0"/>
              </w:rPr>
              <w:t xml:space="preserve">Kişisel Veri İşleme Amaçları</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numPr>
                <w:ilvl w:val="0"/>
                <w:numId w:val="2"/>
              </w:numPr>
              <w:ind w:left="720" w:hanging="360"/>
              <w:jc w:val="both"/>
              <w:rPr>
                <w:highlight w:val="white"/>
              </w:rPr>
            </w:pPr>
            <w:r w:rsidDel="00000000" w:rsidR="00000000" w:rsidRPr="00000000">
              <w:rPr>
                <w:highlight w:val="white"/>
                <w:rtl w:val="0"/>
              </w:rPr>
              <w:t xml:space="preserve">Ad, Soyad</w:t>
            </w:r>
            <w:r w:rsidDel="00000000" w:rsidR="00000000" w:rsidRPr="00000000">
              <w:rPr>
                <w:rtl w:val="0"/>
              </w:rPr>
            </w:r>
          </w:p>
          <w:p w:rsidR="00000000" w:rsidDel="00000000" w:rsidP="00000000" w:rsidRDefault="00000000" w:rsidRPr="00000000" w14:paraId="00000011">
            <w:pPr>
              <w:widowControl w:val="0"/>
              <w:jc w:val="both"/>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jc w:val="both"/>
              <w:rPr>
                <w:highlight w:val="white"/>
              </w:rPr>
            </w:pPr>
            <w:r w:rsidDel="00000000" w:rsidR="00000000" w:rsidRPr="00000000">
              <w:rPr>
                <w:highlight w:val="white"/>
                <w:rtl w:val="0"/>
              </w:rPr>
              <w:t xml:space="preserve">Mal/Hizmet Satış Süreçlerinin Yürütülmesi, Müşteri İlişkileri Yönetimi Süreçlerinin Yürütülmesi, Sözleşme Süreçlerinin Yürütülmesi, Ürün/Hizmetlerin Pazarlama Süreçlerinin Yürütülmesi</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13">
            <w:pPr>
              <w:jc w:val="both"/>
              <w:rPr>
                <w:b w:val="1"/>
                <w:highlight w:val="white"/>
              </w:rPr>
            </w:pPr>
            <w:r w:rsidDel="00000000" w:rsidR="00000000" w:rsidRPr="00000000">
              <w:rPr>
                <w:b w:val="1"/>
                <w:rtl w:val="0"/>
              </w:rPr>
              <w:t xml:space="preserve">Kişisel Verilerin İşlenmesinin Hukuki Sebepleri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after="200" w:lineRule="auto"/>
              <w:jc w:val="both"/>
              <w:rPr/>
            </w:pPr>
            <w:r w:rsidDel="00000000" w:rsidR="00000000" w:rsidRPr="00000000">
              <w:rPr>
                <w:rtl w:val="0"/>
              </w:rPr>
              <w:t xml:space="preserve">Kişisel verileriniz, Palmiye Bisküvi tarafından yukarıda sayılan amaçların gerçekleştirilmesi doğrultusunda, KVKK’nın 5’inci maddesinde belirtilen; </w:t>
            </w:r>
          </w:p>
          <w:p w:rsidR="00000000" w:rsidDel="00000000" w:rsidP="00000000" w:rsidRDefault="00000000" w:rsidRPr="00000000" w14:paraId="00000015">
            <w:pPr>
              <w:numPr>
                <w:ilvl w:val="0"/>
                <w:numId w:val="5"/>
              </w:numPr>
              <w:spacing w:after="200" w:lineRule="auto"/>
              <w:ind w:left="720" w:hanging="360"/>
              <w:jc w:val="both"/>
              <w:rPr/>
            </w:pPr>
            <w:r w:rsidDel="00000000" w:rsidR="00000000" w:rsidRPr="00000000">
              <w:rPr>
                <w:rtl w:val="0"/>
              </w:rPr>
              <w:t xml:space="preserve">Bir sözleşmenin kurulması veya ifasıyla doğrudan doğruya ilgili olması kaydıyla, sözleşmenin taraflarına ait kişisel verilerin işlenmesinin gerekli olması hukuki sebebine dayanılarak işlenmektedir.</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16">
            <w:pPr>
              <w:spacing w:after="200" w:lineRule="auto"/>
              <w:jc w:val="both"/>
              <w:rPr>
                <w:b w:val="1"/>
                <w:highlight w:val="white"/>
              </w:rPr>
            </w:pPr>
            <w:r w:rsidDel="00000000" w:rsidR="00000000" w:rsidRPr="00000000">
              <w:rPr>
                <w:b w:val="1"/>
                <w:rtl w:val="0"/>
              </w:rPr>
              <w:t xml:space="preserve">Kişisel Verileri Toplama Yöntemleri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after="200" w:lineRule="auto"/>
              <w:jc w:val="both"/>
              <w:rPr>
                <w:highlight w:val="white"/>
              </w:rPr>
            </w:pPr>
            <w:r w:rsidDel="00000000" w:rsidR="00000000" w:rsidRPr="00000000">
              <w:rPr>
                <w:highlight w:val="white"/>
                <w:rtl w:val="0"/>
              </w:rPr>
              <w:t xml:space="preserve">Yukarıda belirtilen kişisel verileriniz elektronik formlar, ilgili tarafından beyan edilen belgeler ve diğer basılı formlar vasıtasıyla toplanmaktadır.</w:t>
            </w:r>
          </w:p>
        </w:tc>
      </w:tr>
    </w:tbl>
    <w:p w:rsidR="00000000" w:rsidDel="00000000" w:rsidP="00000000" w:rsidRDefault="00000000" w:rsidRPr="00000000" w14:paraId="00000018">
      <w:pPr>
        <w:spacing w:after="200" w:lineRule="auto"/>
        <w:jc w:val="both"/>
        <w:rPr>
          <w:b w:val="1"/>
          <w:highlight w:val="white"/>
        </w:rPr>
      </w:pPr>
      <w:r w:rsidDel="00000000" w:rsidR="00000000" w:rsidRPr="00000000">
        <w:rPr>
          <w:rtl w:val="0"/>
        </w:rPr>
      </w:r>
    </w:p>
    <w:p w:rsidR="00000000" w:rsidDel="00000000" w:rsidP="00000000" w:rsidRDefault="00000000" w:rsidRPr="00000000" w14:paraId="00000019">
      <w:pPr>
        <w:spacing w:after="200" w:lineRule="auto"/>
        <w:jc w:val="both"/>
        <w:rPr>
          <w:b w:val="1"/>
          <w:highlight w:val="white"/>
        </w:rPr>
      </w:pPr>
      <w:r w:rsidDel="00000000" w:rsidR="00000000" w:rsidRPr="00000000">
        <w:rPr>
          <w:rtl w:val="0"/>
        </w:rPr>
      </w:r>
    </w:p>
    <w:tbl>
      <w:tblPr>
        <w:tblStyle w:val="Table2"/>
        <w:tblW w:w="91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6705"/>
        <w:tblGridChange w:id="0">
          <w:tblGrid>
            <w:gridCol w:w="2490"/>
            <w:gridCol w:w="6705"/>
          </w:tblGrid>
        </w:tblGridChange>
      </w:tblGrid>
      <w:tr>
        <w:trPr>
          <w:trHeight w:val="420" w:hRule="atLeast"/>
        </w:trPr>
        <w:tc>
          <w:tcPr>
            <w:gridSpan w:val="2"/>
            <w:shd w:fill="cc0000" w:val="clear"/>
            <w:tcMar>
              <w:top w:w="100.0" w:type="dxa"/>
              <w:left w:w="100.0" w:type="dxa"/>
              <w:bottom w:w="100.0" w:type="dxa"/>
              <w:right w:w="100.0" w:type="dxa"/>
            </w:tcMar>
            <w:vAlign w:val="top"/>
          </w:tcPr>
          <w:p w:rsidR="00000000" w:rsidDel="00000000" w:rsidP="00000000" w:rsidRDefault="00000000" w:rsidRPr="00000000" w14:paraId="0000001A">
            <w:pPr>
              <w:widowControl w:val="0"/>
              <w:jc w:val="both"/>
              <w:rPr>
                <w:b w:val="1"/>
              </w:rPr>
            </w:pPr>
            <w:r w:rsidDel="00000000" w:rsidR="00000000" w:rsidRPr="00000000">
              <w:rPr>
                <w:b w:val="1"/>
                <w:rtl w:val="0"/>
              </w:rPr>
              <w:t xml:space="preserve">İletişim Bilgileri</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1C">
            <w:pPr>
              <w:widowControl w:val="0"/>
              <w:jc w:val="both"/>
              <w:rPr>
                <w:b w:val="1"/>
              </w:rPr>
            </w:pPr>
            <w:r w:rsidDel="00000000" w:rsidR="00000000" w:rsidRPr="00000000">
              <w:rPr>
                <w:b w:val="1"/>
                <w:rtl w:val="0"/>
              </w:rPr>
              <w:t xml:space="preserve">İşlenen Kişisel Veriler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D">
            <w:pPr>
              <w:widowControl w:val="0"/>
              <w:jc w:val="both"/>
              <w:rPr>
                <w:b w:val="1"/>
              </w:rPr>
            </w:pPr>
            <w:r w:rsidDel="00000000" w:rsidR="00000000" w:rsidRPr="00000000">
              <w:rPr>
                <w:b w:val="1"/>
                <w:rtl w:val="0"/>
              </w:rPr>
              <w:t xml:space="preserve">Kişisel Veri İşleme Amaçları</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numPr>
                <w:ilvl w:val="0"/>
                <w:numId w:val="7"/>
              </w:numPr>
              <w:spacing w:line="276" w:lineRule="auto"/>
              <w:ind w:left="425.19685039370086" w:hanging="360"/>
            </w:pPr>
            <w:r w:rsidDel="00000000" w:rsidR="00000000" w:rsidRPr="00000000">
              <w:rPr>
                <w:rtl w:val="0"/>
              </w:rPr>
              <w:t xml:space="preserve">Elektronik Posta Adresi</w:t>
            </w:r>
          </w:p>
          <w:p w:rsidR="00000000" w:rsidDel="00000000" w:rsidP="00000000" w:rsidRDefault="00000000" w:rsidRPr="00000000" w14:paraId="0000001F">
            <w:pPr>
              <w:numPr>
                <w:ilvl w:val="0"/>
                <w:numId w:val="7"/>
              </w:numPr>
              <w:spacing w:line="276" w:lineRule="auto"/>
              <w:ind w:left="425.19685039370086" w:hanging="360"/>
            </w:pPr>
            <w:r w:rsidDel="00000000" w:rsidR="00000000" w:rsidRPr="00000000">
              <w:rPr>
                <w:rtl w:val="0"/>
              </w:rPr>
              <w:t xml:space="preserve">Cep Telefonu Numarası</w:t>
            </w:r>
          </w:p>
          <w:p w:rsidR="00000000" w:rsidDel="00000000" w:rsidP="00000000" w:rsidRDefault="00000000" w:rsidRPr="00000000" w14:paraId="00000020">
            <w:pPr>
              <w:numPr>
                <w:ilvl w:val="0"/>
                <w:numId w:val="7"/>
              </w:numPr>
              <w:spacing w:line="276" w:lineRule="auto"/>
              <w:ind w:left="425.19685039370086" w:hanging="360"/>
            </w:pPr>
            <w:r w:rsidDel="00000000" w:rsidR="00000000" w:rsidRPr="00000000">
              <w:rPr>
                <w:rtl w:val="0"/>
              </w:rPr>
              <w:t xml:space="preserve">İş Telefonu Numarası</w:t>
            </w:r>
          </w:p>
          <w:p w:rsidR="00000000" w:rsidDel="00000000" w:rsidP="00000000" w:rsidRDefault="00000000" w:rsidRPr="00000000" w14:paraId="00000021">
            <w:pPr>
              <w:numPr>
                <w:ilvl w:val="0"/>
                <w:numId w:val="7"/>
              </w:numPr>
              <w:spacing w:line="276" w:lineRule="auto"/>
              <w:ind w:left="425.19685039370086" w:hanging="360"/>
            </w:pPr>
            <w:r w:rsidDel="00000000" w:rsidR="00000000" w:rsidRPr="00000000">
              <w:rPr>
                <w:rtl w:val="0"/>
              </w:rPr>
              <w:t xml:space="preserve">İş Yeri İsmi-Unvanı</w:t>
            </w:r>
          </w:p>
          <w:p w:rsidR="00000000" w:rsidDel="00000000" w:rsidP="00000000" w:rsidRDefault="00000000" w:rsidRPr="00000000" w14:paraId="00000022">
            <w:pPr>
              <w:numPr>
                <w:ilvl w:val="0"/>
                <w:numId w:val="7"/>
              </w:numPr>
              <w:spacing w:line="276" w:lineRule="auto"/>
              <w:ind w:left="425.19685039370086" w:hanging="360"/>
            </w:pPr>
            <w:r w:rsidDel="00000000" w:rsidR="00000000" w:rsidRPr="00000000">
              <w:rPr>
                <w:rtl w:val="0"/>
              </w:rPr>
              <w:t xml:space="preserve">İş Yeri Adresi</w:t>
            </w:r>
          </w:p>
          <w:p w:rsidR="00000000" w:rsidDel="00000000" w:rsidP="00000000" w:rsidRDefault="00000000" w:rsidRPr="00000000" w14:paraId="00000023">
            <w:pPr>
              <w:numPr>
                <w:ilvl w:val="0"/>
                <w:numId w:val="7"/>
              </w:numPr>
              <w:spacing w:line="276" w:lineRule="auto"/>
              <w:ind w:left="425.19685039370086" w:hanging="360"/>
            </w:pPr>
            <w:r w:rsidDel="00000000" w:rsidR="00000000" w:rsidRPr="00000000">
              <w:rPr>
                <w:rtl w:val="0"/>
              </w:rPr>
              <w:t xml:space="preserve">Faks Numarası</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jc w:val="both"/>
              <w:rPr/>
            </w:pPr>
            <w:r w:rsidDel="00000000" w:rsidR="00000000" w:rsidRPr="00000000">
              <w:rPr>
                <w:highlight w:val="white"/>
                <w:rtl w:val="0"/>
              </w:rPr>
              <w:t xml:space="preserve">Mal/Hizmet Satış Süreçlerinin Yürütülmesi, Müşteri İlişkileri Yönetimi Süreçlerinin Yürütülmesi, Sözleşme Süreçlerinin Yürütülmesi, Ürün/Hizmetlerin Pazarlama Süreçlerinin Yürütülmesi</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5">
            <w:pPr>
              <w:jc w:val="both"/>
              <w:rPr>
                <w:b w:val="1"/>
                <w:highlight w:val="white"/>
              </w:rPr>
            </w:pPr>
            <w:r w:rsidDel="00000000" w:rsidR="00000000" w:rsidRPr="00000000">
              <w:rPr>
                <w:b w:val="1"/>
                <w:rtl w:val="0"/>
              </w:rPr>
              <w:t xml:space="preserve">Kişisel Verilerin İşlenmesinin Hukuki Sebepleri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after="200" w:lineRule="auto"/>
              <w:jc w:val="both"/>
              <w:rPr/>
            </w:pPr>
            <w:r w:rsidDel="00000000" w:rsidR="00000000" w:rsidRPr="00000000">
              <w:rPr>
                <w:rtl w:val="0"/>
              </w:rPr>
              <w:t xml:space="preserve">Kişisel verileriniz, Palmiye Bisküvi tarafından yukarıda sayılan amaçların gerçekleştirilmesi doğrultusunda, KVKK’nın 5’inci maddesinde belirtilen; </w:t>
            </w:r>
          </w:p>
          <w:p w:rsidR="00000000" w:rsidDel="00000000" w:rsidP="00000000" w:rsidRDefault="00000000" w:rsidRPr="00000000" w14:paraId="00000027">
            <w:pPr>
              <w:numPr>
                <w:ilvl w:val="0"/>
                <w:numId w:val="5"/>
              </w:numPr>
              <w:spacing w:after="200" w:lineRule="auto"/>
              <w:ind w:left="720" w:hanging="360"/>
              <w:jc w:val="both"/>
              <w:rPr/>
            </w:pPr>
            <w:r w:rsidDel="00000000" w:rsidR="00000000" w:rsidRPr="00000000">
              <w:rPr>
                <w:rtl w:val="0"/>
              </w:rPr>
              <w:t xml:space="preserve">Bir sözleşmenin kurulması veya ifasıyla doğrudan doğruya ilgili olması kaydıyla, sözleşmenin taraflarına ait kişisel verilerin işlenmesinin gerekli olması hukuki sebebine dayanılarak işlenmektedir.</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8">
            <w:pPr>
              <w:spacing w:after="200" w:lineRule="auto"/>
              <w:jc w:val="both"/>
              <w:rPr>
                <w:b w:val="1"/>
                <w:highlight w:val="white"/>
              </w:rPr>
            </w:pPr>
            <w:r w:rsidDel="00000000" w:rsidR="00000000" w:rsidRPr="00000000">
              <w:rPr>
                <w:b w:val="1"/>
                <w:rtl w:val="0"/>
              </w:rPr>
              <w:t xml:space="preserve">Kişisel Verileri Toplama Yöntemleri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after="200" w:lineRule="auto"/>
              <w:jc w:val="both"/>
              <w:rPr>
                <w:highlight w:val="white"/>
              </w:rPr>
            </w:pPr>
            <w:r w:rsidDel="00000000" w:rsidR="00000000" w:rsidRPr="00000000">
              <w:rPr>
                <w:highlight w:val="white"/>
                <w:rtl w:val="0"/>
              </w:rPr>
              <w:t xml:space="preserve">Yukarıda belirtilen kişisel verileriniz elektronik formlar, ilgili tarafından beyan edilen belgeler ve diğer basılı formlar vasıtasıyla toplanmaktadır.</w:t>
            </w:r>
          </w:p>
        </w:tc>
      </w:tr>
    </w:tbl>
    <w:p w:rsidR="00000000" w:rsidDel="00000000" w:rsidP="00000000" w:rsidRDefault="00000000" w:rsidRPr="00000000" w14:paraId="0000002A">
      <w:pPr>
        <w:spacing w:after="200" w:lineRule="auto"/>
        <w:jc w:val="both"/>
        <w:rPr>
          <w:b w:val="1"/>
          <w:highlight w:val="white"/>
        </w:rPr>
      </w:pPr>
      <w:r w:rsidDel="00000000" w:rsidR="00000000" w:rsidRPr="00000000">
        <w:rPr>
          <w:rtl w:val="0"/>
        </w:rPr>
      </w:r>
    </w:p>
    <w:tbl>
      <w:tblPr>
        <w:tblStyle w:val="Table3"/>
        <w:tblW w:w="91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6690"/>
        <w:tblGridChange w:id="0">
          <w:tblGrid>
            <w:gridCol w:w="2490"/>
            <w:gridCol w:w="6690"/>
          </w:tblGrid>
        </w:tblGridChange>
      </w:tblGrid>
      <w:tr>
        <w:trPr>
          <w:trHeight w:val="420" w:hRule="atLeast"/>
        </w:trPr>
        <w:tc>
          <w:tcPr>
            <w:gridSpan w:val="2"/>
            <w:shd w:fill="cc0000" w:val="clear"/>
            <w:tcMar>
              <w:top w:w="100.0" w:type="dxa"/>
              <w:left w:w="100.0" w:type="dxa"/>
              <w:bottom w:w="100.0" w:type="dxa"/>
              <w:right w:w="100.0" w:type="dxa"/>
            </w:tcMar>
            <w:vAlign w:val="top"/>
          </w:tcPr>
          <w:p w:rsidR="00000000" w:rsidDel="00000000" w:rsidP="00000000" w:rsidRDefault="00000000" w:rsidRPr="00000000" w14:paraId="0000002B">
            <w:pPr>
              <w:widowControl w:val="0"/>
              <w:jc w:val="both"/>
              <w:rPr>
                <w:b w:val="1"/>
              </w:rPr>
            </w:pPr>
            <w:r w:rsidDel="00000000" w:rsidR="00000000" w:rsidRPr="00000000">
              <w:rPr>
                <w:b w:val="1"/>
                <w:rtl w:val="0"/>
              </w:rPr>
              <w:t xml:space="preserve">Özlük </w:t>
            </w:r>
            <w:r w:rsidDel="00000000" w:rsidR="00000000" w:rsidRPr="00000000">
              <w:rPr>
                <w:b w:val="1"/>
                <w:rtl w:val="0"/>
              </w:rPr>
              <w:t xml:space="preserve">Bilgileri</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D">
            <w:pPr>
              <w:widowControl w:val="0"/>
              <w:jc w:val="both"/>
              <w:rPr>
                <w:b w:val="1"/>
              </w:rPr>
            </w:pPr>
            <w:r w:rsidDel="00000000" w:rsidR="00000000" w:rsidRPr="00000000">
              <w:rPr>
                <w:b w:val="1"/>
                <w:rtl w:val="0"/>
              </w:rPr>
              <w:t xml:space="preserve">İşlenen Kişisel Veriler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E">
            <w:pPr>
              <w:widowControl w:val="0"/>
              <w:jc w:val="both"/>
              <w:rPr>
                <w:b w:val="1"/>
              </w:rPr>
            </w:pPr>
            <w:r w:rsidDel="00000000" w:rsidR="00000000" w:rsidRPr="00000000">
              <w:rPr>
                <w:b w:val="1"/>
                <w:rtl w:val="0"/>
              </w:rPr>
              <w:t xml:space="preserve">Kişisel Veri İşleme Amaçları</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numPr>
                <w:ilvl w:val="0"/>
                <w:numId w:val="7"/>
              </w:numPr>
              <w:ind w:left="425.19685039370086" w:hanging="360"/>
              <w:jc w:val="both"/>
              <w:rPr/>
            </w:pPr>
            <w:r w:rsidDel="00000000" w:rsidR="00000000" w:rsidRPr="00000000">
              <w:rPr>
                <w:highlight w:val="white"/>
                <w:rtl w:val="0"/>
              </w:rPr>
              <w:t xml:space="preserve">Pozisyon-Unvan Bilgileri</w:t>
            </w:r>
            <w:r w:rsidDel="00000000" w:rsidR="00000000" w:rsidRPr="00000000">
              <w:rPr>
                <w:rtl w:val="0"/>
              </w:rPr>
            </w:r>
          </w:p>
          <w:p w:rsidR="00000000" w:rsidDel="00000000" w:rsidP="00000000" w:rsidRDefault="00000000" w:rsidRPr="00000000" w14:paraId="00000030">
            <w:pPr>
              <w:widowControl w:val="0"/>
              <w:ind w:left="425.19685039370086" w:firstLine="0"/>
              <w:jc w:val="both"/>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jc w:val="both"/>
              <w:rPr>
                <w:highlight w:val="white"/>
              </w:rPr>
            </w:pPr>
            <w:r w:rsidDel="00000000" w:rsidR="00000000" w:rsidRPr="00000000">
              <w:rPr>
                <w:highlight w:val="white"/>
                <w:rtl w:val="0"/>
              </w:rPr>
              <w:t xml:space="preserve">Mal/Hizmet Satış Süreçlerinin Yürütülmesi, Müşteri İlişkileri Yönetimi Süreçlerinin Yürütülmesi, Sözleşme Süreçlerinin Yürütülmesi, Ürün/Hizmetlerin Pazarlama Süreçlerinin Yürütülmesi</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32">
            <w:pPr>
              <w:jc w:val="both"/>
              <w:rPr>
                <w:b w:val="1"/>
                <w:highlight w:val="white"/>
              </w:rPr>
            </w:pPr>
            <w:r w:rsidDel="00000000" w:rsidR="00000000" w:rsidRPr="00000000">
              <w:rPr>
                <w:b w:val="1"/>
                <w:rtl w:val="0"/>
              </w:rPr>
              <w:t xml:space="preserve">Kişisel Verilerin İşlenmesinin Hukuki Sebepleri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after="200" w:lineRule="auto"/>
              <w:jc w:val="both"/>
              <w:rPr/>
            </w:pPr>
            <w:r w:rsidDel="00000000" w:rsidR="00000000" w:rsidRPr="00000000">
              <w:rPr>
                <w:rtl w:val="0"/>
              </w:rPr>
              <w:t xml:space="preserve">Kişisel verileriniz, Palmiye Bisküvi tarafından yukarıda sayılan amaçların gerçekleştirilmesi doğrultusunda, KVKK’nın 5’inci maddesinde belirtilen;</w:t>
            </w:r>
          </w:p>
          <w:p w:rsidR="00000000" w:rsidDel="00000000" w:rsidP="00000000" w:rsidRDefault="00000000" w:rsidRPr="00000000" w14:paraId="00000034">
            <w:pPr>
              <w:numPr>
                <w:ilvl w:val="0"/>
                <w:numId w:val="5"/>
              </w:numPr>
              <w:spacing w:after="200" w:lineRule="auto"/>
              <w:ind w:left="720" w:hanging="360"/>
              <w:jc w:val="both"/>
              <w:rPr/>
            </w:pPr>
            <w:r w:rsidDel="00000000" w:rsidR="00000000" w:rsidRPr="00000000">
              <w:rPr>
                <w:rtl w:val="0"/>
              </w:rPr>
              <w:t xml:space="preserve">Bir sözleşmenin kurulması veya ifasıyla doğrudan doğruya ilgili olması kaydıyla, sözleşmenin taraflarına ait kişisel verilerin işlenmesinin gerekli olması hukuki sebebine dayanılarak işlenmektedir.</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35">
            <w:pPr>
              <w:spacing w:after="200" w:lineRule="auto"/>
              <w:jc w:val="both"/>
              <w:rPr>
                <w:b w:val="1"/>
                <w:highlight w:val="white"/>
              </w:rPr>
            </w:pPr>
            <w:r w:rsidDel="00000000" w:rsidR="00000000" w:rsidRPr="00000000">
              <w:rPr>
                <w:b w:val="1"/>
                <w:rtl w:val="0"/>
              </w:rPr>
              <w:t xml:space="preserve">Kişisel Verileri Toplama Yöntemleri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after="200" w:lineRule="auto"/>
              <w:jc w:val="both"/>
              <w:rPr>
                <w:highlight w:val="white"/>
              </w:rPr>
            </w:pPr>
            <w:r w:rsidDel="00000000" w:rsidR="00000000" w:rsidRPr="00000000">
              <w:rPr>
                <w:highlight w:val="white"/>
                <w:rtl w:val="0"/>
              </w:rPr>
              <w:t xml:space="preserve">Yukarıda belirtilen kişisel verileriniz elektronik formlar, ilgili tarafından beyan edilen belgeler ve diğer basılı formlar vasıtasıyla toplanmaktadır.</w:t>
            </w:r>
          </w:p>
        </w:tc>
      </w:tr>
    </w:tbl>
    <w:p w:rsidR="00000000" w:rsidDel="00000000" w:rsidP="00000000" w:rsidRDefault="00000000" w:rsidRPr="00000000" w14:paraId="00000037">
      <w:pPr>
        <w:spacing w:after="200" w:before="200" w:lineRule="auto"/>
        <w:jc w:val="both"/>
        <w:rPr>
          <w:b w:val="1"/>
          <w:highlight w:val="white"/>
        </w:rPr>
      </w:pPr>
      <w:r w:rsidDel="00000000" w:rsidR="00000000" w:rsidRPr="00000000">
        <w:rPr>
          <w:rtl w:val="0"/>
        </w:rPr>
      </w:r>
    </w:p>
    <w:p w:rsidR="00000000" w:rsidDel="00000000" w:rsidP="00000000" w:rsidRDefault="00000000" w:rsidRPr="00000000" w14:paraId="00000038">
      <w:pPr>
        <w:spacing w:after="200" w:before="200" w:lineRule="auto"/>
        <w:jc w:val="both"/>
        <w:rPr>
          <w:b w:val="1"/>
          <w:highlight w:val="white"/>
        </w:rPr>
      </w:pPr>
      <w:r w:rsidDel="00000000" w:rsidR="00000000" w:rsidRPr="00000000">
        <w:rPr>
          <w:b w:val="1"/>
          <w:highlight w:val="white"/>
          <w:rtl w:val="0"/>
        </w:rPr>
        <w:t xml:space="preserve">Kişisel Verileriniz Kimlere ve Hangi Amaçlarla Aktarılabilecektir?</w:t>
      </w:r>
    </w:p>
    <w:p w:rsidR="00000000" w:rsidDel="00000000" w:rsidP="00000000" w:rsidRDefault="00000000" w:rsidRPr="00000000" w14:paraId="00000039">
      <w:pPr>
        <w:spacing w:after="200" w:before="200" w:lineRule="auto"/>
        <w:jc w:val="both"/>
        <w:rPr>
          <w:highlight w:val="white"/>
        </w:rPr>
      </w:pPr>
      <w:r w:rsidDel="00000000" w:rsidR="00000000" w:rsidRPr="00000000">
        <w:rPr>
          <w:rtl w:val="0"/>
        </w:rPr>
        <w:t xml:space="preserve">Kişisel verileriniz herhangi bir alıcı grubuna aktarılmamaktadır. </w:t>
      </w:r>
      <w:r w:rsidDel="00000000" w:rsidR="00000000" w:rsidRPr="00000000">
        <w:rPr>
          <w:rtl w:val="0"/>
        </w:rPr>
      </w:r>
    </w:p>
    <w:p w:rsidR="00000000" w:rsidDel="00000000" w:rsidP="00000000" w:rsidRDefault="00000000" w:rsidRPr="00000000" w14:paraId="0000003A">
      <w:pPr>
        <w:spacing w:after="200" w:before="200" w:lineRule="auto"/>
        <w:jc w:val="both"/>
        <w:rPr/>
      </w:pPr>
      <w:r w:rsidDel="00000000" w:rsidR="00000000" w:rsidRPr="00000000">
        <w:rPr>
          <w:b w:val="1"/>
          <w:rtl w:val="0"/>
        </w:rPr>
        <w:t xml:space="preserve">Kişisel Verileriniz Ne Kadar Süre ile Saklanır?</w:t>
      </w:r>
      <w:r w:rsidDel="00000000" w:rsidR="00000000" w:rsidRPr="00000000">
        <w:rPr>
          <w:rtl w:val="0"/>
        </w:rPr>
        <w:t xml:space="preserve"> </w:t>
      </w:r>
    </w:p>
    <w:p w:rsidR="00000000" w:rsidDel="00000000" w:rsidP="00000000" w:rsidRDefault="00000000" w:rsidRPr="00000000" w14:paraId="0000003B">
      <w:pPr>
        <w:spacing w:after="200" w:before="200" w:lineRule="auto"/>
        <w:jc w:val="both"/>
        <w:rPr/>
      </w:pPr>
      <w:r w:rsidDel="00000000" w:rsidR="00000000" w:rsidRPr="00000000">
        <w:rPr>
          <w:rtl w:val="0"/>
        </w:rPr>
        <w:t xml:space="preserve">Kişisel verileriniz, kanunda veya ilgili mevzuatta verinin saklanması için bir süre belirlenmişse, söz konusu veri en az bu süre kadar saklanmak zorundadır. Kanunda veya ilgili mevzuatta bir süre öngörülmemişse; işlenme amaçlarıyla bağlantılı, sınırlı ve ölçülü olmak kaydıyla belirlenen makul sürelerce saklanmaktadır.</w:t>
      </w:r>
    </w:p>
    <w:p w:rsidR="00000000" w:rsidDel="00000000" w:rsidP="00000000" w:rsidRDefault="00000000" w:rsidRPr="00000000" w14:paraId="0000003C">
      <w:pPr>
        <w:spacing w:after="200" w:lineRule="auto"/>
        <w:jc w:val="both"/>
        <w:rPr>
          <w:b w:val="1"/>
        </w:rPr>
      </w:pPr>
      <w:r w:rsidDel="00000000" w:rsidR="00000000" w:rsidRPr="00000000">
        <w:rPr>
          <w:b w:val="1"/>
          <w:rtl w:val="0"/>
        </w:rPr>
        <w:t xml:space="preserve">İlgili Kişi Olarak Haklarınız Nelerdir?</w:t>
      </w:r>
    </w:p>
    <w:p w:rsidR="00000000" w:rsidDel="00000000" w:rsidP="00000000" w:rsidRDefault="00000000" w:rsidRPr="00000000" w14:paraId="0000003D">
      <w:pPr>
        <w:spacing w:after="200" w:lineRule="auto"/>
        <w:jc w:val="both"/>
        <w:rPr/>
      </w:pPr>
      <w:r w:rsidDel="00000000" w:rsidR="00000000" w:rsidRPr="00000000">
        <w:rPr>
          <w:rtl w:val="0"/>
        </w:rPr>
        <w:t xml:space="preserve">KVKK ve ilgili mevzuat kapsamında kişisel verilerinize ilişkin olarak;</w:t>
      </w:r>
    </w:p>
    <w:p w:rsidR="00000000" w:rsidDel="00000000" w:rsidP="00000000" w:rsidRDefault="00000000" w:rsidRPr="00000000" w14:paraId="0000003E">
      <w:pPr>
        <w:numPr>
          <w:ilvl w:val="0"/>
          <w:numId w:val="1"/>
        </w:numPr>
        <w:ind w:left="720" w:hanging="360"/>
        <w:jc w:val="both"/>
        <w:rPr/>
      </w:pPr>
      <w:r w:rsidDel="00000000" w:rsidR="00000000" w:rsidRPr="00000000">
        <w:rPr>
          <w:rtl w:val="0"/>
        </w:rPr>
        <w:t xml:space="preserve">Kişisel verilerinizin işlenip işlenmediğini öğrenme,</w:t>
      </w:r>
    </w:p>
    <w:p w:rsidR="00000000" w:rsidDel="00000000" w:rsidP="00000000" w:rsidRDefault="00000000" w:rsidRPr="00000000" w14:paraId="0000003F">
      <w:pPr>
        <w:numPr>
          <w:ilvl w:val="0"/>
          <w:numId w:val="1"/>
        </w:numPr>
        <w:ind w:left="720" w:hanging="360"/>
        <w:jc w:val="both"/>
        <w:rPr/>
      </w:pPr>
      <w:r w:rsidDel="00000000" w:rsidR="00000000" w:rsidRPr="00000000">
        <w:rPr>
          <w:rtl w:val="0"/>
        </w:rPr>
        <w:t xml:space="preserve">Kişisel verileriniz işlenmişse buna ilişkin bilgi talep etme,</w:t>
      </w:r>
    </w:p>
    <w:p w:rsidR="00000000" w:rsidDel="00000000" w:rsidP="00000000" w:rsidRDefault="00000000" w:rsidRPr="00000000" w14:paraId="00000040">
      <w:pPr>
        <w:numPr>
          <w:ilvl w:val="0"/>
          <w:numId w:val="6"/>
        </w:numPr>
        <w:ind w:left="720" w:hanging="360"/>
        <w:jc w:val="both"/>
        <w:rPr/>
      </w:pPr>
      <w:r w:rsidDel="00000000" w:rsidR="00000000" w:rsidRPr="00000000">
        <w:rPr>
          <w:rtl w:val="0"/>
        </w:rPr>
        <w:t xml:space="preserve">Kişisel verilerin işlenme amacını ve bunların amacına uygun kullanılıp kullanılmadığını öğrenme,</w:t>
      </w:r>
    </w:p>
    <w:p w:rsidR="00000000" w:rsidDel="00000000" w:rsidP="00000000" w:rsidRDefault="00000000" w:rsidRPr="00000000" w14:paraId="00000041">
      <w:pPr>
        <w:numPr>
          <w:ilvl w:val="0"/>
          <w:numId w:val="6"/>
        </w:numPr>
        <w:ind w:left="720" w:hanging="360"/>
        <w:jc w:val="both"/>
        <w:rPr/>
      </w:pPr>
      <w:r w:rsidDel="00000000" w:rsidR="00000000" w:rsidRPr="00000000">
        <w:rPr>
          <w:rtl w:val="0"/>
        </w:rPr>
        <w:t xml:space="preserve">Yurt içinde veya yurt dışında kişisel verilerinizin aktarıldığı üçüncü kişileri bilme,</w:t>
      </w:r>
    </w:p>
    <w:p w:rsidR="00000000" w:rsidDel="00000000" w:rsidP="00000000" w:rsidRDefault="00000000" w:rsidRPr="00000000" w14:paraId="00000042">
      <w:pPr>
        <w:numPr>
          <w:ilvl w:val="0"/>
          <w:numId w:val="6"/>
        </w:numPr>
        <w:ind w:left="720" w:hanging="360"/>
        <w:jc w:val="both"/>
        <w:rPr/>
      </w:pPr>
      <w:r w:rsidDel="00000000" w:rsidR="00000000" w:rsidRPr="00000000">
        <w:rPr>
          <w:rtl w:val="0"/>
        </w:rPr>
        <w:t xml:space="preserve">Kişisel verilerinizin eksik veya yanlış işlenmiş olması halinde bunların düzeltilmesini isteme,</w:t>
      </w:r>
    </w:p>
    <w:p w:rsidR="00000000" w:rsidDel="00000000" w:rsidP="00000000" w:rsidRDefault="00000000" w:rsidRPr="00000000" w14:paraId="00000043">
      <w:pPr>
        <w:numPr>
          <w:ilvl w:val="0"/>
          <w:numId w:val="6"/>
        </w:numPr>
        <w:ind w:left="720" w:hanging="360"/>
        <w:jc w:val="both"/>
        <w:rPr/>
      </w:pPr>
      <w:r w:rsidDel="00000000" w:rsidR="00000000" w:rsidRPr="00000000">
        <w:rPr>
          <w:rtl w:val="0"/>
        </w:rPr>
        <w:t xml:space="preserve">KVKK mevzuatında öngörülen şartlar çerçevesinde kişisel verilerinizin silinmesini veya yok edilmesini isteme,</w:t>
      </w:r>
    </w:p>
    <w:p w:rsidR="00000000" w:rsidDel="00000000" w:rsidP="00000000" w:rsidRDefault="00000000" w:rsidRPr="00000000" w14:paraId="00000044">
      <w:pPr>
        <w:numPr>
          <w:ilvl w:val="0"/>
          <w:numId w:val="6"/>
        </w:numPr>
        <w:ind w:left="720" w:hanging="360"/>
        <w:jc w:val="both"/>
        <w:rPr/>
      </w:pPr>
      <w:r w:rsidDel="00000000" w:rsidR="00000000" w:rsidRPr="00000000">
        <w:rPr>
          <w:rtl w:val="0"/>
        </w:rPr>
        <w:t xml:space="preserve">Eksik veya yanlış verilerin düzeltilmesi ile kişisel verilerinizin silinmesi veya yok edilmesini talep ettiğinizde, bu durumun kişisel verilerinizi aktardığımız üçüncü kişilere bildirilmesini isteme,</w:t>
      </w:r>
    </w:p>
    <w:p w:rsidR="00000000" w:rsidDel="00000000" w:rsidP="00000000" w:rsidRDefault="00000000" w:rsidRPr="00000000" w14:paraId="00000045">
      <w:pPr>
        <w:numPr>
          <w:ilvl w:val="0"/>
          <w:numId w:val="6"/>
        </w:numPr>
        <w:spacing w:line="276" w:lineRule="auto"/>
        <w:ind w:left="720" w:hanging="360"/>
        <w:jc w:val="both"/>
      </w:pPr>
      <w:r w:rsidDel="00000000" w:rsidR="00000000" w:rsidRPr="00000000">
        <w:rPr>
          <w:rtl w:val="0"/>
        </w:rPr>
        <w:t xml:space="preserve">İşlenen verilerin münhasıran otomatik sistemler vasıtasıyla analiz edilmesi suretiyle kişinin kendisi aleyhine bir sonucun ortaya çıkmasına itiraz etme ve</w:t>
      </w:r>
    </w:p>
    <w:p w:rsidR="00000000" w:rsidDel="00000000" w:rsidP="00000000" w:rsidRDefault="00000000" w:rsidRPr="00000000" w14:paraId="00000046">
      <w:pPr>
        <w:numPr>
          <w:ilvl w:val="0"/>
          <w:numId w:val="3"/>
        </w:numPr>
        <w:spacing w:after="200" w:lineRule="auto"/>
        <w:ind w:left="720" w:hanging="360"/>
        <w:jc w:val="both"/>
        <w:rPr/>
      </w:pPr>
      <w:r w:rsidDel="00000000" w:rsidR="00000000" w:rsidRPr="00000000">
        <w:rPr>
          <w:rtl w:val="0"/>
        </w:rPr>
        <w:t xml:space="preserve">Kişisel verilerin kanuna aykırı olarak işlenmesi sebebiyle zarara uğramanız halinde bu zararın giderilmesini talep etme</w:t>
      </w:r>
    </w:p>
    <w:p w:rsidR="00000000" w:rsidDel="00000000" w:rsidP="00000000" w:rsidRDefault="00000000" w:rsidRPr="00000000" w14:paraId="00000047">
      <w:pPr>
        <w:spacing w:after="200" w:lineRule="auto"/>
        <w:jc w:val="both"/>
        <w:rPr/>
      </w:pPr>
      <w:r w:rsidDel="00000000" w:rsidR="00000000" w:rsidRPr="00000000">
        <w:rPr>
          <w:rtl w:val="0"/>
        </w:rPr>
        <w:t xml:space="preserve">haklarına sahipsiniz. </w:t>
      </w:r>
    </w:p>
    <w:p w:rsidR="00000000" w:rsidDel="00000000" w:rsidP="00000000" w:rsidRDefault="00000000" w:rsidRPr="00000000" w14:paraId="00000048">
      <w:pPr>
        <w:spacing w:after="0" w:before="0" w:lineRule="auto"/>
        <w:jc w:val="both"/>
        <w:rPr>
          <w:b w:val="1"/>
        </w:rPr>
      </w:pPr>
      <w:r w:rsidDel="00000000" w:rsidR="00000000" w:rsidRPr="00000000">
        <w:rPr>
          <w:b w:val="1"/>
          <w:rtl w:val="0"/>
        </w:rPr>
        <w:t xml:space="preserve">Haklarınızı Nasıl Kullanabilirsiniz?</w:t>
      </w:r>
    </w:p>
    <w:p w:rsidR="00000000" w:rsidDel="00000000" w:rsidP="00000000" w:rsidRDefault="00000000" w:rsidRPr="00000000" w14:paraId="00000049">
      <w:pPr>
        <w:spacing w:before="240" w:lineRule="auto"/>
        <w:jc w:val="both"/>
        <w:rPr/>
      </w:pPr>
      <w:r w:rsidDel="00000000" w:rsidR="00000000" w:rsidRPr="00000000">
        <w:rPr>
          <w:rtl w:val="0"/>
        </w:rPr>
        <w:t xml:space="preserve">Kişisel verileriniz ile ilgili başvuru ve taleplerinizi dilerseniz </w:t>
      </w:r>
      <w:commentRangeStart w:id="0"/>
      <w:r w:rsidDel="00000000" w:rsidR="00000000" w:rsidRPr="00000000">
        <w:rPr>
          <w:i w:val="1"/>
          <w:rtl w:val="0"/>
        </w:rPr>
        <w:t xml:space="preserve">İlgili Kişi Başvuru Formu</w:t>
      </w:r>
      <w:r w:rsidDel="00000000" w:rsidR="00000000" w:rsidRPr="00000000">
        <w:rPr>
          <w:i w:val="1"/>
          <w:rtl w:val="0"/>
        </w:rPr>
        <w:t xml:space="preserve"> </w:t>
      </w:r>
      <w:commentRangeEnd w:id="0"/>
      <w:r w:rsidDel="00000000" w:rsidR="00000000" w:rsidRPr="00000000">
        <w:commentReference w:id="0"/>
      </w:r>
      <w:r w:rsidDel="00000000" w:rsidR="00000000" w:rsidRPr="00000000">
        <w:rPr>
          <w:rtl w:val="0"/>
        </w:rPr>
        <w:t xml:space="preserve">aracılığıyla; </w:t>
      </w:r>
    </w:p>
    <w:p w:rsidR="00000000" w:rsidDel="00000000" w:rsidP="00000000" w:rsidRDefault="00000000" w:rsidRPr="00000000" w14:paraId="0000004A">
      <w:pPr>
        <w:numPr>
          <w:ilvl w:val="0"/>
          <w:numId w:val="4"/>
        </w:numPr>
        <w:spacing w:after="0" w:afterAutospacing="0" w:before="240" w:lineRule="auto"/>
        <w:ind w:left="720" w:hanging="360"/>
        <w:jc w:val="both"/>
        <w:rPr/>
      </w:pPr>
      <w:r w:rsidDel="00000000" w:rsidR="00000000" w:rsidRPr="00000000">
        <w:rPr>
          <w:rtl w:val="0"/>
        </w:rPr>
        <w:t xml:space="preserve">Islak imzalı ve kimlik fotokopisi ile </w:t>
      </w:r>
      <w:r w:rsidDel="00000000" w:rsidR="00000000" w:rsidRPr="00000000">
        <w:rPr>
          <w:highlight w:val="white"/>
          <w:rtl w:val="0"/>
        </w:rPr>
        <w:t xml:space="preserve">Organize Sanayi Bölgesi, 18. Cadde No 15 </w:t>
      </w:r>
      <w:r w:rsidDel="00000000" w:rsidR="00000000" w:rsidRPr="00000000">
        <w:rPr>
          <w:rtl w:val="0"/>
        </w:rPr>
        <w:t xml:space="preserve">Merkez/Karaman adresine göndererek,</w:t>
      </w:r>
    </w:p>
    <w:p w:rsidR="00000000" w:rsidDel="00000000" w:rsidP="00000000" w:rsidRDefault="00000000" w:rsidRPr="00000000" w14:paraId="0000004B">
      <w:pPr>
        <w:numPr>
          <w:ilvl w:val="0"/>
          <w:numId w:val="4"/>
        </w:numPr>
        <w:spacing w:after="0" w:afterAutospacing="0" w:before="0" w:beforeAutospacing="0" w:lineRule="auto"/>
        <w:ind w:left="720" w:hanging="360"/>
        <w:jc w:val="both"/>
        <w:rPr/>
      </w:pPr>
      <w:r w:rsidDel="00000000" w:rsidR="00000000" w:rsidRPr="00000000">
        <w:rPr>
          <w:rtl w:val="0"/>
        </w:rPr>
        <w:t xml:space="preserve">Geçerli bir kimlik belgesi ile birlikte </w:t>
      </w:r>
      <w:r w:rsidDel="00000000" w:rsidR="00000000" w:rsidRPr="00000000">
        <w:rPr>
          <w:highlight w:val="white"/>
          <w:rtl w:val="0"/>
        </w:rPr>
        <w:t xml:space="preserve">Palmiye Bisküvi Çikolata Kek Gofret Gıda San. </w:t>
      </w:r>
      <w:r w:rsidDel="00000000" w:rsidR="00000000" w:rsidRPr="00000000">
        <w:rPr>
          <w:rtl w:val="0"/>
        </w:rPr>
        <w:t xml:space="preserve">Tic.</w:t>
      </w:r>
      <w:r w:rsidDel="00000000" w:rsidR="00000000" w:rsidRPr="00000000">
        <w:rPr>
          <w:highlight w:val="white"/>
          <w:rtl w:val="0"/>
        </w:rPr>
        <w:t xml:space="preserve"> A.Ş.</w:t>
      </w:r>
      <w:r w:rsidDel="00000000" w:rsidR="00000000" w:rsidRPr="00000000">
        <w:rPr>
          <w:rtl w:val="0"/>
        </w:rPr>
        <w:t xml:space="preserve">’ye bizzat başvurarak, </w:t>
      </w:r>
    </w:p>
    <w:p w:rsidR="00000000" w:rsidDel="00000000" w:rsidP="00000000" w:rsidRDefault="00000000" w:rsidRPr="00000000" w14:paraId="0000004C">
      <w:pPr>
        <w:numPr>
          <w:ilvl w:val="0"/>
          <w:numId w:val="4"/>
        </w:numPr>
        <w:spacing w:after="0" w:afterAutospacing="0" w:lineRule="auto"/>
        <w:ind w:left="720" w:hanging="360"/>
        <w:jc w:val="both"/>
        <w:rPr/>
      </w:pPr>
      <w:r w:rsidDel="00000000" w:rsidR="00000000" w:rsidRPr="00000000">
        <w:rPr>
          <w:rtl w:val="0"/>
        </w:rPr>
        <w:t xml:space="preserve">Mobil imza veya güvenli elektronik imza ile imzalayıp</w:t>
      </w:r>
      <w:r w:rsidDel="00000000" w:rsidR="00000000" w:rsidRPr="00000000">
        <w:rPr>
          <w:highlight w:val="white"/>
          <w:rtl w:val="0"/>
        </w:rPr>
        <w:t xml:space="preserve"> </w:t>
      </w:r>
      <w:commentRangeStart w:id="1"/>
      <w:r w:rsidDel="00000000" w:rsidR="00000000" w:rsidRPr="00000000">
        <w:rPr>
          <w:color w:val="1155cc"/>
          <w:rtl w:val="0"/>
        </w:rPr>
        <w:t xml:space="preserve">kvkk@...</w:t>
      </w:r>
      <w:commentRangeEnd w:id="1"/>
      <w:r w:rsidDel="00000000" w:rsidR="00000000" w:rsidRPr="00000000">
        <w:commentReference w:id="1"/>
      </w:r>
      <w:r w:rsidDel="00000000" w:rsidR="00000000" w:rsidRPr="00000000">
        <w:rPr>
          <w:rtl w:val="0"/>
        </w:rPr>
        <w:t xml:space="preserve"> adresine e-posta gönderilerek,</w:t>
      </w:r>
    </w:p>
    <w:p w:rsidR="00000000" w:rsidDel="00000000" w:rsidP="00000000" w:rsidRDefault="00000000" w:rsidRPr="00000000" w14:paraId="0000004D">
      <w:pPr>
        <w:numPr>
          <w:ilvl w:val="0"/>
          <w:numId w:val="4"/>
        </w:numPr>
        <w:spacing w:after="240" w:before="0" w:beforeAutospacing="0" w:lineRule="auto"/>
        <w:ind w:left="720" w:hanging="360"/>
        <w:jc w:val="both"/>
        <w:rPr/>
      </w:pPr>
      <w:r w:rsidDel="00000000" w:rsidR="00000000" w:rsidRPr="00000000">
        <w:rPr>
          <w:rtl w:val="0"/>
        </w:rPr>
        <w:t xml:space="preserve">Kayıtlı elektronik posta (KEP) adresi ve güvenli elektronik imza ya da mobil imza kullanmak suretiyle </w:t>
      </w:r>
      <w:commentRangeStart w:id="2"/>
      <w:r w:rsidDel="00000000" w:rsidR="00000000" w:rsidRPr="00000000">
        <w:rPr>
          <w:color w:val="1155cc"/>
          <w:rtl w:val="0"/>
        </w:rPr>
        <w:t xml:space="preserve">...</w:t>
      </w:r>
      <w:r w:rsidDel="00000000" w:rsidR="00000000" w:rsidRPr="00000000">
        <w:rPr>
          <w:color w:val="1155cc"/>
          <w:rtl w:val="0"/>
        </w:rPr>
        <w:t xml:space="preserve">@hs01.kep.tr</w:t>
      </w:r>
      <w:commentRangeEnd w:id="2"/>
      <w:r w:rsidDel="00000000" w:rsidR="00000000" w:rsidRPr="00000000">
        <w:commentReference w:id="2"/>
      </w:r>
      <w:r w:rsidDel="00000000" w:rsidR="00000000" w:rsidRPr="00000000">
        <w:rPr>
          <w:rtl w:val="0"/>
        </w:rPr>
        <w:t xml:space="preserve"> kayıtlı elektronik posta adresimize göndererek,</w:t>
      </w:r>
    </w:p>
    <w:p w:rsidR="00000000" w:rsidDel="00000000" w:rsidP="00000000" w:rsidRDefault="00000000" w:rsidRPr="00000000" w14:paraId="0000004E">
      <w:pPr>
        <w:spacing w:after="240" w:lineRule="auto"/>
        <w:jc w:val="both"/>
        <w:rPr/>
      </w:pPr>
      <w:r w:rsidDel="00000000" w:rsidR="00000000" w:rsidRPr="00000000">
        <w:rPr>
          <w:highlight w:val="white"/>
          <w:rtl w:val="0"/>
        </w:rPr>
        <w:t xml:space="preserve">Palmiye Bisküvi Çikolata Kek Gofret Gıda San. </w:t>
      </w:r>
      <w:r w:rsidDel="00000000" w:rsidR="00000000" w:rsidRPr="00000000">
        <w:rPr>
          <w:rtl w:val="0"/>
        </w:rPr>
        <w:t xml:space="preserve">Tic.</w:t>
      </w:r>
      <w:r w:rsidDel="00000000" w:rsidR="00000000" w:rsidRPr="00000000">
        <w:rPr>
          <w:highlight w:val="white"/>
          <w:rtl w:val="0"/>
        </w:rPr>
        <w:t xml:space="preserve"> A.Ş.</w:t>
      </w:r>
      <w:r w:rsidDel="00000000" w:rsidR="00000000" w:rsidRPr="00000000">
        <w:rPr>
          <w:rtl w:val="0"/>
        </w:rPr>
        <w:t xml:space="preserve">’ye iletebilirsiniz.</w:t>
      </w:r>
    </w:p>
    <w:p w:rsidR="00000000" w:rsidDel="00000000" w:rsidP="00000000" w:rsidRDefault="00000000" w:rsidRPr="00000000" w14:paraId="0000004F">
      <w:pPr>
        <w:spacing w:after="240" w:before="240" w:lineRule="auto"/>
        <w:jc w:val="both"/>
        <w:rPr/>
      </w:pPr>
      <w:r w:rsidDel="00000000" w:rsidR="00000000" w:rsidRPr="00000000">
        <w:rPr>
          <w:rtl w:val="0"/>
        </w:rPr>
        <w:t xml:space="preserve">Veri Sorumlusuna Başvuru Usul ve Esasları Hakkında Tebliğ uyarınca, İlgili Kişi’nin, başvurusunda isim, soyisim, başvuru yazılı ise imza, T.C. kimlik numarası, (başvuruda bulunan kişinin yabancı olması halinde uyruğu, pasaport numarası veya varsa kimlik numarası), tebligata esas yerleşim yeri veya iş yeri adresi, varsa bildirime esas elektronik posta adresi, telefon numarası ve faks numarası ile talep konusuna dair bilgilerin bulunması zorunludur.</w:t>
      </w:r>
    </w:p>
    <w:p w:rsidR="00000000" w:rsidDel="00000000" w:rsidP="00000000" w:rsidRDefault="00000000" w:rsidRPr="00000000" w14:paraId="00000050">
      <w:pPr>
        <w:spacing w:after="240" w:before="240" w:lineRule="auto"/>
        <w:jc w:val="both"/>
        <w:rPr/>
      </w:pPr>
      <w:r w:rsidDel="00000000" w:rsidR="00000000" w:rsidRPr="00000000">
        <w:rPr>
          <w:rtl w:val="0"/>
        </w:rPr>
        <w:t xml:space="preserve">İlgili Kişi, yukarıda belirtilen hakları kullanmak için yapacağı ve kullanmayı talep ettiği hakka ilişkin açıklamaları içeren başvuruda talep edilen hususu açık ve anlaşılır şekilde belirtmelidir. Başvuruya ilişkin bilgi ve belgelerin başvuruya eklenmesi gerekmektedir.</w:t>
      </w:r>
    </w:p>
    <w:p w:rsidR="00000000" w:rsidDel="00000000" w:rsidP="00000000" w:rsidRDefault="00000000" w:rsidRPr="00000000" w14:paraId="00000051">
      <w:pPr>
        <w:spacing w:after="200" w:lineRule="auto"/>
        <w:jc w:val="both"/>
        <w:rPr/>
      </w:pPr>
      <w:r w:rsidDel="00000000" w:rsidR="00000000" w:rsidRPr="00000000">
        <w:rPr>
          <w:rtl w:val="0"/>
        </w:rPr>
        <w:t xml:space="preserve">Talep konusunun başvuranın şahsı ile ilgili olması gerekmekle birlikte, başkası adına hareket ediliyor ise başvuruyu yapanın bu konuda özel olarak yetkili olması ve bu yetkinin belgelendirilmesi (vekâletname) gerekmektedir. Ayrıca başvurunun kimlik ve adres bilgilerini içermesi ve başvuruya kimliği doğrulayıcı belgelerin eklenmesi gerekmektedir.</w:t>
      </w:r>
    </w:p>
    <w:p w:rsidR="00000000" w:rsidDel="00000000" w:rsidP="00000000" w:rsidRDefault="00000000" w:rsidRPr="00000000" w14:paraId="00000052">
      <w:pPr>
        <w:jc w:val="both"/>
        <w:rPr/>
      </w:pPr>
      <w:r w:rsidDel="00000000" w:rsidR="00000000" w:rsidRPr="00000000">
        <w:rPr>
          <w:rtl w:val="0"/>
        </w:rPr>
        <w:t xml:space="preserve">Yetkisiz üçüncü kişilerin başkası adına yaptığı talepler değerlendirmeye alınmayacaktır.</w:t>
      </w:r>
    </w:p>
    <w:p w:rsidR="00000000" w:rsidDel="00000000" w:rsidP="00000000" w:rsidRDefault="00000000" w:rsidRPr="00000000" w14:paraId="00000053">
      <w:pPr>
        <w:jc w:val="both"/>
        <w:rPr/>
      </w:pPr>
      <w:bookmarkStart w:colFirst="0" w:colLast="0" w:name="_x9pgnhww2opa" w:id="0"/>
      <w:bookmarkEnd w:id="0"/>
      <w:r w:rsidDel="00000000" w:rsidR="00000000" w:rsidRPr="00000000">
        <w:rPr>
          <w:rtl w:val="0"/>
        </w:rPr>
      </w:r>
    </w:p>
    <w:p w:rsidR="00000000" w:rsidDel="00000000" w:rsidP="00000000" w:rsidRDefault="00000000" w:rsidRPr="00000000" w14:paraId="00000054">
      <w:pPr>
        <w:spacing w:after="200" w:before="0" w:lineRule="auto"/>
        <w:jc w:val="both"/>
        <w:rPr>
          <w:b w:val="1"/>
        </w:rPr>
      </w:pPr>
      <w:r w:rsidDel="00000000" w:rsidR="00000000" w:rsidRPr="00000000">
        <w:rPr>
          <w:b w:val="1"/>
          <w:rtl w:val="0"/>
        </w:rPr>
        <w:t xml:space="preserve">Kişisel Verilerinizin İşlenmesine İlişkin Talepleriniz Ne Kadar Sürede Cevaplanır?</w:t>
      </w:r>
    </w:p>
    <w:p w:rsidR="00000000" w:rsidDel="00000000" w:rsidP="00000000" w:rsidRDefault="00000000" w:rsidRPr="00000000" w14:paraId="00000055">
      <w:pPr>
        <w:spacing w:after="200" w:lineRule="auto"/>
        <w:jc w:val="both"/>
        <w:rPr/>
      </w:pPr>
      <w:r w:rsidDel="00000000" w:rsidR="00000000" w:rsidRPr="00000000">
        <w:rPr>
          <w:rtl w:val="0"/>
        </w:rPr>
        <w:t xml:space="preserve">Kişisel verilerinize ilişkin hak talepleriniz değerlendirilerek, bize ulaştığı tarihten itibaren en geç 30 gün içerisinde cevaplanır. Başvurunuzun olumsuz değerlendirilmesi halinde gerekçeli ret sebepleri başvuruda belirttiğiniz adrese elektronik posta veya posta yolu başta olmak üzere İlgili Kişi Başvuru Formu’nda seçilen usullerinden biri ile gönderilir.</w:t>
      </w:r>
    </w:p>
    <w:p w:rsidR="00000000" w:rsidDel="00000000" w:rsidP="00000000" w:rsidRDefault="00000000" w:rsidRPr="00000000" w14:paraId="00000056">
      <w:pPr>
        <w:rPr/>
      </w:pPr>
      <w:r w:rsidDel="00000000" w:rsidR="00000000" w:rsidRPr="00000000">
        <w:rPr>
          <w:rtl w:val="0"/>
        </w:rPr>
      </w:r>
    </w:p>
    <w:sectPr>
      <w:headerReference r:id="rId7" w:type="default"/>
      <w:footerReference r:id="rId8" w:type="default"/>
      <w:pgSz w:h="16834" w:w="11909"/>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eyla Sezen" w:id="1" w:date="2020-05-06T13:18:28Z">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İlgili Kişilerin başvurularının toplanarak cevaplandırılacağı adresin belirtilmesi rica olunur.</w:t>
      </w:r>
    </w:p>
  </w:comment>
  <w:comment w:author="Leyla Sezen" w:id="2" w:date="2020-05-06T13:18:52Z">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KEP adresinin belirtilmesi rica olunur.</w:t>
      </w:r>
    </w:p>
  </w:comment>
  <w:comment w:author="Leyla Sezen" w:id="0" w:date="2020-05-06T13:06:47Z">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Hyperlink/URL verilmesi rica olunur.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spacing w:line="240" w:lineRule="auto"/>
      <w:rPr/>
    </w:pPr>
    <w:r w:rsidDel="00000000" w:rsidR="00000000" w:rsidRPr="00000000">
      <w:rPr>
        <w:i w:val="1"/>
        <w:sz w:val="20"/>
        <w:szCs w:val="20"/>
      </w:rPr>
      <w:drawing>
        <wp:inline distB="114300" distT="114300" distL="114300" distR="114300">
          <wp:extent cx="1752600" cy="638175"/>
          <wp:effectExtent b="0" l="0" r="0" t="0"/>
          <wp:docPr descr="Palmiye Bisküvi" id="1" name="image1.png"/>
          <a:graphic>
            <a:graphicData uri="http://schemas.openxmlformats.org/drawingml/2006/picture">
              <pic:pic>
                <pic:nvPicPr>
                  <pic:cNvPr descr="Palmiye Bisküvi" id="0" name="image1.png"/>
                  <pic:cNvPicPr preferRelativeResize="0"/>
                </pic:nvPicPr>
                <pic:blipFill>
                  <a:blip r:embed="rId1"/>
                  <a:srcRect b="0" l="0" r="0" t="0"/>
                  <a:stretch>
                    <a:fillRect/>
                  </a:stretch>
                </pic:blipFill>
                <pic:spPr>
                  <a:xfrm>
                    <a:off x="0" y="0"/>
                    <a:ext cx="1752600" cy="6381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425.1968503937008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